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25DF7">
      <w:pPr>
        <w:kinsoku w:val="0"/>
        <w:overflowPunct w:val="0"/>
        <w:autoSpaceDE/>
        <w:autoSpaceDN/>
        <w:adjustRightInd/>
        <w:spacing w:line="281" w:lineRule="exact"/>
        <w:ind w:left="2160"/>
        <w:textAlignment w:val="baseline"/>
        <w:rPr>
          <w:b/>
          <w:bCs/>
          <w:sz w:val="26"/>
          <w:szCs w:val="26"/>
          <w:lang w:val="es-ES" w:eastAsia="es-ES"/>
        </w:rPr>
      </w:pPr>
      <w:r>
        <w:rPr>
          <w:b/>
          <w:bCs/>
          <w:sz w:val="26"/>
          <w:szCs w:val="26"/>
          <w:lang w:val="es-ES" w:eastAsia="es-ES"/>
        </w:rPr>
        <w:t>RESOLUCIÓN No. TAT-3162-2017</w:t>
      </w:r>
    </w:p>
    <w:p w:rsidR="00000000" w:rsidRDefault="00A25DF7">
      <w:pPr>
        <w:kinsoku w:val="0"/>
        <w:overflowPunct w:val="0"/>
        <w:autoSpaceDE/>
        <w:autoSpaceDN/>
        <w:adjustRightInd/>
        <w:spacing w:before="256" w:line="296" w:lineRule="exact"/>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10:17</w:t>
      </w:r>
    </w:p>
    <w:p w:rsidR="00000000" w:rsidRDefault="00A25DF7">
      <w:pPr>
        <w:tabs>
          <w:tab w:val="right" w:leader="hyphen" w:pos="8928"/>
        </w:tabs>
        <w:kinsoku w:val="0"/>
        <w:overflowPunct w:val="0"/>
        <w:autoSpaceDE/>
        <w:autoSpaceDN/>
        <w:adjustRightInd/>
        <w:spacing w:before="53" w:line="296" w:lineRule="exact"/>
        <w:textAlignment w:val="baseline"/>
        <w:rPr>
          <w:sz w:val="26"/>
          <w:szCs w:val="26"/>
          <w:lang w:val="es-ES" w:eastAsia="es-ES"/>
        </w:rPr>
      </w:pPr>
      <w:r>
        <w:rPr>
          <w:sz w:val="26"/>
          <w:szCs w:val="26"/>
          <w:lang w:val="es-ES" w:eastAsia="es-ES"/>
        </w:rPr>
        <w:t>horas del dí</w:t>
      </w:r>
      <w:r>
        <w:rPr>
          <w:sz w:val="26"/>
          <w:szCs w:val="26"/>
          <w:lang w:val="es-ES" w:eastAsia="es-ES"/>
        </w:rPr>
        <w:t>a Primero de Febrero del Dos Mil Diecisiete.</w:t>
      </w:r>
      <w:r>
        <w:rPr>
          <w:sz w:val="26"/>
          <w:szCs w:val="26"/>
          <w:lang w:val="es-ES" w:eastAsia="es-ES"/>
        </w:rPr>
        <w:tab/>
      </w:r>
    </w:p>
    <w:p w:rsidR="00000000" w:rsidRDefault="00A25DF7">
      <w:pPr>
        <w:kinsoku w:val="0"/>
        <w:overflowPunct w:val="0"/>
        <w:autoSpaceDE/>
        <w:autoSpaceDN/>
        <w:adjustRightInd/>
        <w:spacing w:before="525" w:line="349" w:lineRule="exact"/>
        <w:ind w:right="72"/>
        <w:jc w:val="both"/>
        <w:textAlignment w:val="baseline"/>
        <w:rPr>
          <w:sz w:val="24"/>
          <w:szCs w:val="24"/>
          <w:lang w:eastAsia="en-US"/>
        </w:rPr>
      </w:pPr>
      <w:r>
        <w:rPr>
          <w:sz w:val="26"/>
          <w:szCs w:val="26"/>
          <w:lang w:val="es-ES" w:eastAsia="es-ES"/>
        </w:rPr>
        <w:t xml:space="preserve">Se conoce por este medio de formal </w:t>
      </w:r>
      <w:r>
        <w:rPr>
          <w:b/>
          <w:bCs/>
          <w:sz w:val="26"/>
          <w:szCs w:val="26"/>
          <w:lang w:val="es-ES" w:eastAsia="es-ES"/>
        </w:rPr>
        <w:t xml:space="preserve">RECURSO DE REVISIÓN </w:t>
      </w:r>
      <w:r>
        <w:rPr>
          <w:sz w:val="26"/>
          <w:szCs w:val="26"/>
          <w:lang w:val="es-ES" w:eastAsia="es-ES"/>
        </w:rPr>
        <w:t xml:space="preserve">y de </w:t>
      </w:r>
      <w:r>
        <w:rPr>
          <w:b/>
          <w:bCs/>
          <w:sz w:val="26"/>
          <w:szCs w:val="26"/>
          <w:lang w:val="es-ES" w:eastAsia="es-ES"/>
        </w:rPr>
        <w:t xml:space="preserve">INCIDENTE DE NULIDAD ABSOLUTA </w:t>
      </w:r>
      <w:r>
        <w:rPr>
          <w:sz w:val="26"/>
          <w:szCs w:val="26"/>
          <w:lang w:val="es-ES" w:eastAsia="es-ES"/>
        </w:rPr>
        <w:t xml:space="preserve">presentados por el Señor, </w:t>
      </w:r>
      <w:r>
        <w:rPr>
          <w:b/>
          <w:bCs/>
          <w:sz w:val="26"/>
          <w:szCs w:val="26"/>
          <w:lang w:val="es-ES" w:eastAsia="es-ES"/>
        </w:rPr>
        <w:t>G</w:t>
      </w:r>
      <w:r w:rsidR="00985B04">
        <w:rPr>
          <w:b/>
          <w:bCs/>
          <w:sz w:val="26"/>
          <w:szCs w:val="26"/>
          <w:lang w:val="es-ES" w:eastAsia="es-ES"/>
        </w:rPr>
        <w:t>.A.E.</w:t>
      </w:r>
      <w:r>
        <w:rPr>
          <w:b/>
          <w:bCs/>
          <w:sz w:val="26"/>
          <w:szCs w:val="26"/>
          <w:lang w:val="es-ES" w:eastAsia="es-ES"/>
        </w:rPr>
        <w:t xml:space="preserve">, </w:t>
      </w:r>
      <w:r>
        <w:rPr>
          <w:sz w:val="26"/>
          <w:szCs w:val="26"/>
          <w:lang w:val="es-ES" w:eastAsia="es-ES"/>
        </w:rPr>
        <w:t>de calidades ya conocidas y portador de la cédula de identidad númer</w:t>
      </w:r>
      <w:r>
        <w:rPr>
          <w:sz w:val="26"/>
          <w:szCs w:val="26"/>
          <w:lang w:val="es-ES" w:eastAsia="es-ES"/>
        </w:rPr>
        <w:t xml:space="preserve">o </w:t>
      </w:r>
      <w:r w:rsidR="00985B04">
        <w:rPr>
          <w:sz w:val="26"/>
          <w:szCs w:val="26"/>
          <w:lang w:val="es-ES" w:eastAsia="es-ES"/>
        </w:rPr>
        <w:t>…</w:t>
      </w:r>
      <w:r>
        <w:rPr>
          <w:sz w:val="26"/>
          <w:szCs w:val="26"/>
          <w:lang w:val="es-ES" w:eastAsia="es-ES"/>
        </w:rPr>
        <w:t xml:space="preserve">, Concesionario del Servicio Público de Taxi, con la Placa No. </w:t>
      </w:r>
      <w:r>
        <w:rPr>
          <w:b/>
          <w:bCs/>
          <w:sz w:val="26"/>
          <w:szCs w:val="26"/>
          <w:u w:val="single"/>
          <w:lang w:val="es-ES" w:eastAsia="es-ES"/>
        </w:rPr>
        <w:t>TSJ-</w:t>
      </w:r>
      <w:r w:rsidR="00985B04">
        <w:rPr>
          <w:b/>
          <w:bCs/>
          <w:sz w:val="26"/>
          <w:szCs w:val="26"/>
          <w:u w:val="single"/>
          <w:lang w:val="es-ES" w:eastAsia="es-ES"/>
        </w:rPr>
        <w:t>XXX</w:t>
      </w:r>
      <w:r>
        <w:rPr>
          <w:b/>
          <w:bCs/>
          <w:sz w:val="26"/>
          <w:szCs w:val="26"/>
          <w:u w:val="single"/>
          <w:lang w:val="es-ES" w:eastAsia="es-ES"/>
        </w:rPr>
        <w:t>,</w:t>
      </w:r>
      <w:r>
        <w:rPr>
          <w:b/>
          <w:bCs/>
          <w:sz w:val="26"/>
          <w:szCs w:val="26"/>
          <w:lang w:val="es-ES" w:eastAsia="es-ES"/>
        </w:rPr>
        <w:t xml:space="preserve"> </w:t>
      </w:r>
      <w:r>
        <w:rPr>
          <w:sz w:val="26"/>
          <w:szCs w:val="26"/>
          <w:lang w:val="es-ES" w:eastAsia="es-ES"/>
        </w:rPr>
        <w:t>contra lo determinado en su relación por la Junta Directiva del Consejo de Transporte Público mediante su Acuerdo No. 7.2 de su Sesión Ordinaria No. 40-2016 del 18 de Agosto</w:t>
      </w:r>
      <w:r>
        <w:rPr>
          <w:sz w:val="26"/>
          <w:szCs w:val="26"/>
          <w:lang w:val="es-ES" w:eastAsia="es-ES"/>
        </w:rPr>
        <w:t xml:space="preserve"> del 2016.- </w:t>
      </w:r>
      <w:r>
        <w:rPr>
          <w:b/>
          <w:bCs/>
          <w:i/>
          <w:iCs/>
          <w:sz w:val="26"/>
          <w:szCs w:val="26"/>
          <w:lang w:val="es-ES" w:eastAsia="es-ES"/>
        </w:rPr>
        <w:t>EXPEDIENTE No. TAT-218-16.</w:t>
      </w:r>
      <w:r>
        <w:rPr>
          <w:b/>
          <w:bCs/>
          <w:i/>
          <w:iCs/>
          <w:sz w:val="26"/>
          <w:szCs w:val="26"/>
          <w:lang w:val="es-ES" w:eastAsia="es-ES"/>
        </w:rPr>
        <w:noBreakHyphen/>
      </w:r>
    </w:p>
    <w:p w:rsidR="00000000" w:rsidRDefault="00A25DF7">
      <w:pPr>
        <w:kinsoku w:val="0"/>
        <w:overflowPunct w:val="0"/>
        <w:autoSpaceDE/>
        <w:autoSpaceDN/>
        <w:adjustRightInd/>
        <w:spacing w:before="385" w:line="301"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A25DF7">
      <w:pPr>
        <w:kinsoku w:val="0"/>
        <w:overflowPunct w:val="0"/>
        <w:autoSpaceDE/>
        <w:autoSpaceDN/>
        <w:adjustRightInd/>
        <w:spacing w:before="320" w:line="349" w:lineRule="exact"/>
        <w:ind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7.2 de su Sesión Ordinaria No. 40-2016 del 18 de Agosto del 2016 la Junta Directiva del Consejo de Transporte Público dispuso, entre otros casos, tener por Fenecida o Venc</w:t>
      </w:r>
      <w:r>
        <w:rPr>
          <w:sz w:val="26"/>
          <w:szCs w:val="26"/>
          <w:lang w:val="es-ES" w:eastAsia="es-ES"/>
        </w:rPr>
        <w:t>ida la Concesión del hoy Recurrente en virtud que no haberla Renovado en tiempo (advenimiento de su Plazo de vigencia). Ello dado a que el Interesado no se presentó a la Cita de Renovación/Formalización pertinente.</w:t>
      </w:r>
    </w:p>
    <w:p w:rsidR="00000000" w:rsidRDefault="00A25DF7">
      <w:pPr>
        <w:kinsoku w:val="0"/>
        <w:overflowPunct w:val="0"/>
        <w:autoSpaceDE/>
        <w:autoSpaceDN/>
        <w:adjustRightInd/>
        <w:spacing w:before="288" w:line="349" w:lineRule="exact"/>
        <w:ind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 xml:space="preserve">Notificado del Acto ante dicho </w:t>
      </w:r>
      <w:r>
        <w:rPr>
          <w:sz w:val="26"/>
          <w:szCs w:val="26"/>
          <w:lang w:val="es-ES" w:eastAsia="es-ES"/>
        </w:rPr>
        <w:t>y mediante Memorial de fecha 19 de Setiembre del 2016, presentado al Expediente No. 333554 de la Ventanilla Única del Consejo de Transporte Público, recibido el 20 de septiembre del 2016, el Concesionario A</w:t>
      </w:r>
      <w:r w:rsidR="00985B04">
        <w:rPr>
          <w:sz w:val="26"/>
          <w:szCs w:val="26"/>
          <w:lang w:val="es-ES" w:eastAsia="es-ES"/>
        </w:rPr>
        <w:t>.E.</w:t>
      </w:r>
      <w:r>
        <w:rPr>
          <w:sz w:val="26"/>
          <w:szCs w:val="26"/>
          <w:lang w:val="es-ES" w:eastAsia="es-ES"/>
        </w:rPr>
        <w:t xml:space="preserve"> interpone de forma expresa RECURS</w:t>
      </w:r>
      <w:r>
        <w:rPr>
          <w:sz w:val="26"/>
          <w:szCs w:val="26"/>
          <w:lang w:val="es-ES" w:eastAsia="es-ES"/>
        </w:rPr>
        <w:t>O DE REVISIÓN E INCIDENCIA DE NULIDAD ABSOLUTA contra el Acuerdo No. 7.2 de su Sesión Ordinaria No. 40-2016 del 18 de Agosto del 2016 de la Junta Directiva del Consejo de Transporte Público.</w:t>
      </w:r>
    </w:p>
    <w:p w:rsidR="00000000" w:rsidRDefault="00A25DF7">
      <w:pPr>
        <w:kinsoku w:val="0"/>
        <w:overflowPunct w:val="0"/>
        <w:autoSpaceDE/>
        <w:autoSpaceDN/>
        <w:adjustRightInd/>
        <w:spacing w:before="333" w:line="349" w:lineRule="exact"/>
        <w:ind w:right="72"/>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Analizados l</w:t>
      </w:r>
      <w:r>
        <w:rPr>
          <w:sz w:val="26"/>
          <w:szCs w:val="26"/>
          <w:lang w:val="es-ES" w:eastAsia="es-ES"/>
        </w:rPr>
        <w:t>os alegatos del Recurrente y mediante su Acuerdo No. 7.14.9 de su Sesión Ordinaria No. 60-2016 del 30 de Noviembre del 2016, la Junta Directiva del Consejo de Transporte Público determina, ante las recomendaciones de</w:t>
      </w:r>
    </w:p>
    <w:p w:rsidR="00000000" w:rsidRDefault="00A25DF7">
      <w:pPr>
        <w:widowControl/>
        <w:rPr>
          <w:sz w:val="24"/>
          <w:szCs w:val="24"/>
        </w:rPr>
        <w:sectPr w:rsidR="00000000">
          <w:pgSz w:w="12259" w:h="15749"/>
          <w:pgMar w:top="1320" w:right="1593" w:bottom="214" w:left="1666" w:header="720" w:footer="720" w:gutter="0"/>
          <w:cols w:space="720"/>
          <w:noEndnote/>
        </w:sectPr>
      </w:pPr>
    </w:p>
    <w:p w:rsidR="00000000" w:rsidRDefault="00A25DF7">
      <w:pPr>
        <w:kinsoku w:val="0"/>
        <w:overflowPunct w:val="0"/>
        <w:autoSpaceDE/>
        <w:autoSpaceDN/>
        <w:adjustRightInd/>
        <w:spacing w:line="326" w:lineRule="exact"/>
        <w:ind w:left="72"/>
        <w:jc w:val="both"/>
        <w:textAlignment w:val="baseline"/>
        <w:rPr>
          <w:sz w:val="26"/>
          <w:szCs w:val="26"/>
          <w:lang w:val="es-ES" w:eastAsia="es-ES"/>
        </w:rPr>
      </w:pPr>
      <w:r>
        <w:rPr>
          <w:sz w:val="26"/>
          <w:szCs w:val="26"/>
          <w:lang w:val="es-ES" w:eastAsia="es-ES"/>
        </w:rPr>
        <w:lastRenderedPageBreak/>
        <w:t>su Asesoría Jurídica mediante Oficio DAJ 2016-003916, RECHAZAR el Recurso y la Incidencia concomitante. Así como elevar el Asunto para ante este Tribunal.</w:t>
      </w:r>
    </w:p>
    <w:p w:rsidR="00000000" w:rsidRDefault="00A25DF7">
      <w:pPr>
        <w:kinsoku w:val="0"/>
        <w:overflowPunct w:val="0"/>
        <w:autoSpaceDE/>
        <w:autoSpaceDN/>
        <w:adjustRightInd/>
        <w:spacing w:before="349" w:line="343" w:lineRule="exact"/>
        <w:ind w:lef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En mérito de la Remisió</w:t>
      </w:r>
      <w:r>
        <w:rPr>
          <w:sz w:val="26"/>
          <w:szCs w:val="26"/>
          <w:lang w:val="es-ES" w:eastAsia="es-ES"/>
        </w:rPr>
        <w:t>n del Caso para ante esta Instancia y conforme a los Términos y Prescripciones de Ley, procede a Resolver este Tribunal.</w:t>
      </w:r>
    </w:p>
    <w:p w:rsidR="00000000" w:rsidRDefault="00A25DF7">
      <w:pPr>
        <w:kinsoku w:val="0"/>
        <w:overflowPunct w:val="0"/>
        <w:autoSpaceDE/>
        <w:autoSpaceDN/>
        <w:adjustRightInd/>
        <w:spacing w:before="647" w:line="301" w:lineRule="exact"/>
        <w:ind w:left="72"/>
        <w:textAlignment w:val="baseline"/>
        <w:rPr>
          <w:b/>
          <w:bCs/>
          <w:i/>
          <w:iCs/>
          <w:sz w:val="26"/>
          <w:szCs w:val="26"/>
          <w:lang w:val="es-ES" w:eastAsia="es-ES"/>
        </w:rPr>
      </w:pPr>
      <w:r>
        <w:rPr>
          <w:b/>
          <w:bCs/>
          <w:i/>
          <w:iCs/>
          <w:sz w:val="26"/>
          <w:szCs w:val="26"/>
          <w:lang w:val="es-ES" w:eastAsia="es-ES"/>
        </w:rPr>
        <w:t>REDACTA EL JUEZ QUESADA AGUIRRE,</w:t>
      </w:r>
    </w:p>
    <w:p w:rsidR="00000000" w:rsidRDefault="00A25DF7">
      <w:pPr>
        <w:kinsoku w:val="0"/>
        <w:overflowPunct w:val="0"/>
        <w:autoSpaceDE/>
        <w:autoSpaceDN/>
        <w:adjustRightInd/>
        <w:spacing w:before="243" w:line="301" w:lineRule="exact"/>
        <w:ind w:left="72"/>
        <w:jc w:val="center"/>
        <w:textAlignment w:val="baseline"/>
        <w:rPr>
          <w:b/>
          <w:bCs/>
          <w:i/>
          <w:iCs/>
          <w:sz w:val="26"/>
          <w:szCs w:val="26"/>
          <w:lang w:val="es-ES" w:eastAsia="es-ES"/>
        </w:rPr>
      </w:pPr>
      <w:r>
        <w:rPr>
          <w:b/>
          <w:bCs/>
          <w:i/>
          <w:iCs/>
          <w:sz w:val="26"/>
          <w:szCs w:val="26"/>
          <w:lang w:val="es-ES" w:eastAsia="es-ES"/>
        </w:rPr>
        <w:t>Considerando Único</w:t>
      </w:r>
    </w:p>
    <w:p w:rsidR="00000000" w:rsidRDefault="00A25DF7">
      <w:pPr>
        <w:kinsoku w:val="0"/>
        <w:overflowPunct w:val="0"/>
        <w:autoSpaceDE/>
        <w:autoSpaceDN/>
        <w:adjustRightInd/>
        <w:spacing w:before="348" w:line="343" w:lineRule="exact"/>
        <w:ind w:left="72"/>
        <w:jc w:val="both"/>
        <w:textAlignment w:val="baseline"/>
        <w:rPr>
          <w:spacing w:val="-3"/>
          <w:sz w:val="26"/>
          <w:szCs w:val="26"/>
          <w:lang w:val="es-ES" w:eastAsia="es-ES"/>
        </w:rPr>
      </w:pPr>
      <w:r>
        <w:rPr>
          <w:spacing w:val="-3"/>
          <w:sz w:val="26"/>
          <w:szCs w:val="26"/>
          <w:lang w:val="es-ES" w:eastAsia="es-ES"/>
        </w:rPr>
        <w:t>Como bien se colige del Memorial Recursivo presentado por el Señor A</w:t>
      </w:r>
      <w:r w:rsidR="00985B04">
        <w:rPr>
          <w:spacing w:val="-3"/>
          <w:sz w:val="26"/>
          <w:szCs w:val="26"/>
          <w:lang w:val="es-ES" w:eastAsia="es-ES"/>
        </w:rPr>
        <w:t>.E.</w:t>
      </w:r>
      <w:r>
        <w:rPr>
          <w:spacing w:val="-3"/>
          <w:sz w:val="26"/>
          <w:szCs w:val="26"/>
          <w:lang w:val="es-ES" w:eastAsia="es-ES"/>
        </w:rPr>
        <w:t xml:space="preserve">, éste EXPRESAMENTE lo que Interpone es un RECURSO DE REVISIÓN con una petición de Nulidad concomitante. Es decir, NO SE TRATARÍA DE LOS RECURSOS ORDINARIOS DE LEY </w:t>
      </w:r>
      <w:r>
        <w:rPr>
          <w:i/>
          <w:iCs/>
          <w:spacing w:val="-3"/>
          <w:sz w:val="26"/>
          <w:szCs w:val="26"/>
          <w:lang w:val="es-ES" w:eastAsia="es-ES"/>
        </w:rPr>
        <w:t xml:space="preserve">(Revocatoria con Apelación en subsidio), </w:t>
      </w:r>
      <w:r>
        <w:rPr>
          <w:spacing w:val="-3"/>
          <w:sz w:val="26"/>
          <w:szCs w:val="26"/>
          <w:lang w:val="es-ES" w:eastAsia="es-ES"/>
        </w:rPr>
        <w:t>sino de una Acción que Reviste CARÁCTER EXTRAORDIN</w:t>
      </w:r>
      <w:r>
        <w:rPr>
          <w:spacing w:val="-3"/>
          <w:sz w:val="26"/>
          <w:szCs w:val="26"/>
          <w:lang w:val="es-ES" w:eastAsia="es-ES"/>
        </w:rPr>
        <w:t xml:space="preserve">ARIO, la cual solo Opera en Casos Calificados </w:t>
      </w:r>
      <w:r>
        <w:rPr>
          <w:i/>
          <w:iCs/>
          <w:spacing w:val="-3"/>
          <w:sz w:val="26"/>
          <w:szCs w:val="26"/>
          <w:lang w:val="es-ES" w:eastAsia="es-ES"/>
        </w:rPr>
        <w:t xml:space="preserve">(Actos Finales Firmes) </w:t>
      </w:r>
      <w:r>
        <w:rPr>
          <w:spacing w:val="-3"/>
          <w:sz w:val="26"/>
          <w:szCs w:val="26"/>
          <w:lang w:val="es-ES" w:eastAsia="es-ES"/>
        </w:rPr>
        <w:t>y en Hipótesis Taxativas, según los artículos 353 y 354 de la Ley General de la Administración Pública.</w:t>
      </w:r>
    </w:p>
    <w:p w:rsidR="00000000" w:rsidRDefault="00A25DF7">
      <w:pPr>
        <w:kinsoku w:val="0"/>
        <w:overflowPunct w:val="0"/>
        <w:autoSpaceDE/>
        <w:autoSpaceDN/>
        <w:adjustRightInd/>
        <w:spacing w:before="326" w:line="301" w:lineRule="exact"/>
        <w:ind w:left="72" w:right="72"/>
        <w:jc w:val="both"/>
        <w:textAlignment w:val="baseline"/>
        <w:rPr>
          <w:b/>
          <w:bCs/>
          <w:i/>
          <w:iCs/>
          <w:spacing w:val="-2"/>
          <w:sz w:val="26"/>
          <w:szCs w:val="26"/>
          <w:lang w:val="es-ES" w:eastAsia="es-ES"/>
        </w:rPr>
      </w:pPr>
      <w:r>
        <w:rPr>
          <w:spacing w:val="-2"/>
          <w:sz w:val="26"/>
          <w:szCs w:val="26"/>
          <w:lang w:val="es-ES" w:eastAsia="es-ES"/>
        </w:rPr>
        <w:t>El Recurso de Revisión ..."es una limitació</w:t>
      </w:r>
      <w:r>
        <w:rPr>
          <w:spacing w:val="-2"/>
          <w:sz w:val="26"/>
          <w:szCs w:val="26"/>
          <w:lang w:val="es-ES" w:eastAsia="es-ES"/>
        </w:rPr>
        <w:t>n a la "cosa juzgada administrativa", es la forma de quebrar un acto firme obtenido de forma ilícita, fraudulenta o injusta para que el procedimiento administrativo se reabra y se resuelva con arreglo a la legalidad o al ordenamiento jurídico (bloque de le</w:t>
      </w:r>
      <w:r>
        <w:rPr>
          <w:spacing w:val="-2"/>
          <w:sz w:val="26"/>
          <w:szCs w:val="26"/>
          <w:lang w:val="es-ES" w:eastAsia="es-ES"/>
        </w:rPr>
        <w:t xml:space="preserve">galidad)." </w:t>
      </w:r>
      <w:r>
        <w:rPr>
          <w:b/>
          <w:bCs/>
          <w:i/>
          <w:iCs/>
          <w:spacing w:val="-2"/>
          <w:sz w:val="26"/>
          <w:szCs w:val="26"/>
          <w:lang w:val="es-ES" w:eastAsia="es-ES"/>
        </w:rPr>
        <w:t xml:space="preserve">(JINESTA LOBO (Ernesto), El agotamiento de la vía administrativa y los recursos administrativos. Revista Ivstitia, San José, N°169-170, enero febrero 2001, p. 33. (Localizada en la Biblioteca de la Facultad de Derecho de la Universidad de Costa </w:t>
      </w:r>
      <w:r>
        <w:rPr>
          <w:b/>
          <w:bCs/>
          <w:i/>
          <w:iCs/>
          <w:spacing w:val="-2"/>
          <w:sz w:val="26"/>
          <w:szCs w:val="26"/>
          <w:lang w:val="es-ES" w:eastAsia="es-ES"/>
        </w:rPr>
        <w:t>Rica, signatura 340-1)</w:t>
      </w:r>
    </w:p>
    <w:p w:rsidR="00000000" w:rsidRDefault="00A25DF7">
      <w:pPr>
        <w:kinsoku w:val="0"/>
        <w:overflowPunct w:val="0"/>
        <w:autoSpaceDE/>
        <w:autoSpaceDN/>
        <w:adjustRightInd/>
        <w:spacing w:before="272" w:line="301" w:lineRule="exact"/>
        <w:ind w:left="72" w:right="72"/>
        <w:jc w:val="both"/>
        <w:textAlignment w:val="baseline"/>
        <w:rPr>
          <w:b/>
          <w:bCs/>
          <w:i/>
          <w:iCs/>
          <w:spacing w:val="1"/>
          <w:sz w:val="26"/>
          <w:szCs w:val="26"/>
          <w:lang w:val="es-ES" w:eastAsia="es-ES"/>
        </w:rPr>
      </w:pPr>
      <w:r>
        <w:rPr>
          <w:spacing w:val="1"/>
          <w:sz w:val="26"/>
          <w:szCs w:val="26"/>
          <w:lang w:val="es-ES" w:eastAsia="es-ES"/>
        </w:rPr>
        <w:t xml:space="preserve">"El recurso de revisión debe ser interpuesto ante el órgano que legalmente se establezca. En doctrina se ha señalado como órgano competente para resolverlo al Poder Ejecutivo, al ministro o jerarca de la institución </w:t>
      </w:r>
      <w:r>
        <w:rPr>
          <w:spacing w:val="1"/>
          <w:sz w:val="26"/>
          <w:szCs w:val="26"/>
          <w:u w:val="single"/>
          <w:lang w:val="es-ES" w:eastAsia="es-ES"/>
        </w:rPr>
        <w:t>y al mismo órgano</w:t>
      </w:r>
      <w:r>
        <w:rPr>
          <w:spacing w:val="1"/>
          <w:sz w:val="26"/>
          <w:szCs w:val="26"/>
          <w:u w:val="single"/>
          <w:lang w:val="es-ES" w:eastAsia="es-ES"/>
        </w:rPr>
        <w:t xml:space="preserve"> que dictó el acto impugnado."</w:t>
      </w:r>
      <w:r>
        <w:rPr>
          <w:b/>
          <w:bCs/>
          <w:i/>
          <w:iCs/>
          <w:spacing w:val="1"/>
          <w:sz w:val="26"/>
          <w:szCs w:val="26"/>
          <w:lang w:val="es-ES" w:eastAsia="es-ES"/>
        </w:rPr>
        <w:t xml:space="preserve"> (ALTAMIREZ, ESCOLA, BREWER, GARCÍA DE ENTERRÍA, FERNÁNDEZ Y DROMI citados por PALMA GRIJALBA (Zeidy), op. cit. p. 128.</w:t>
      </w:r>
    </w:p>
    <w:p w:rsidR="00000000" w:rsidRDefault="00A25DF7">
      <w:pPr>
        <w:kinsoku w:val="0"/>
        <w:overflowPunct w:val="0"/>
        <w:autoSpaceDE/>
        <w:autoSpaceDN/>
        <w:adjustRightInd/>
        <w:spacing w:before="257" w:line="348" w:lineRule="exact"/>
        <w:ind w:left="72" w:right="72"/>
        <w:jc w:val="both"/>
        <w:textAlignment w:val="baseline"/>
        <w:rPr>
          <w:spacing w:val="-1"/>
          <w:sz w:val="26"/>
          <w:szCs w:val="26"/>
          <w:lang w:val="es-ES" w:eastAsia="es-ES"/>
        </w:rPr>
      </w:pPr>
      <w:r>
        <w:rPr>
          <w:spacing w:val="-1"/>
          <w:sz w:val="26"/>
          <w:szCs w:val="26"/>
          <w:lang w:val="es-ES" w:eastAsia="es-ES"/>
        </w:rPr>
        <w:t xml:space="preserve">El título Octavo de la Ley General de la Administración Pública establece las acciones recursivas que los </w:t>
      </w:r>
      <w:r>
        <w:rPr>
          <w:spacing w:val="-1"/>
          <w:sz w:val="26"/>
          <w:szCs w:val="26"/>
          <w:lang w:val="es-ES" w:eastAsia="es-ES"/>
        </w:rPr>
        <w:t xml:space="preserve">interesados podrán interponer contra aquellas Resoluciones </w:t>
      </w:r>
      <w:r>
        <w:rPr>
          <w:i/>
          <w:iCs/>
          <w:spacing w:val="-1"/>
          <w:sz w:val="26"/>
          <w:szCs w:val="26"/>
          <w:lang w:val="es-ES" w:eastAsia="es-ES"/>
        </w:rPr>
        <w:t xml:space="preserve">(de mero trámite, incidentales o finales) </w:t>
      </w:r>
      <w:r>
        <w:rPr>
          <w:spacing w:val="-1"/>
          <w:sz w:val="26"/>
          <w:szCs w:val="26"/>
          <w:lang w:val="es-ES" w:eastAsia="es-ES"/>
        </w:rPr>
        <w:t>por motivos de legalidad y oportunidad. En el artículo 343 de la citada Ley se establece la diferenciación entre los Recursos Ordinarios (Revocatoria y Ape</w:t>
      </w:r>
      <w:r>
        <w:rPr>
          <w:spacing w:val="-1"/>
          <w:sz w:val="26"/>
          <w:szCs w:val="26"/>
          <w:lang w:val="es-ES" w:eastAsia="es-ES"/>
        </w:rPr>
        <w:t>lación) y Extraordinario (Revisión). Este</w:t>
      </w:r>
    </w:p>
    <w:p w:rsidR="00000000" w:rsidRDefault="00A25DF7">
      <w:pPr>
        <w:widowControl/>
        <w:rPr>
          <w:sz w:val="24"/>
          <w:szCs w:val="24"/>
        </w:rPr>
        <w:sectPr w:rsidR="00000000">
          <w:pgSz w:w="12259" w:h="15749"/>
          <w:pgMar w:top="1440" w:right="1639" w:bottom="233" w:left="1620" w:header="720" w:footer="720" w:gutter="0"/>
          <w:cols w:space="720"/>
          <w:noEndnote/>
        </w:sectPr>
      </w:pPr>
    </w:p>
    <w:p w:rsidR="00000000" w:rsidRDefault="00A25DF7">
      <w:pPr>
        <w:kinsoku w:val="0"/>
        <w:overflowPunct w:val="0"/>
        <w:autoSpaceDE/>
        <w:autoSpaceDN/>
        <w:adjustRightInd/>
        <w:spacing w:line="308" w:lineRule="exact"/>
        <w:ind w:left="216" w:right="216"/>
        <w:jc w:val="both"/>
        <w:textAlignment w:val="baseline"/>
        <w:rPr>
          <w:sz w:val="25"/>
          <w:szCs w:val="25"/>
          <w:lang w:val="es-ES" w:eastAsia="es-ES"/>
        </w:rPr>
      </w:pPr>
      <w:r>
        <w:rPr>
          <w:sz w:val="25"/>
          <w:szCs w:val="25"/>
          <w:lang w:val="es-ES" w:eastAsia="es-ES"/>
        </w:rPr>
        <w:lastRenderedPageBreak/>
        <w:t>último ha sido catalogado como de excepcional, aplicable únicamente a actos administrativos firmes y en los que se cuestiona su validez.</w:t>
      </w:r>
    </w:p>
    <w:p w:rsidR="00000000" w:rsidRDefault="00A25DF7">
      <w:pPr>
        <w:kinsoku w:val="0"/>
        <w:overflowPunct w:val="0"/>
        <w:autoSpaceDE/>
        <w:autoSpaceDN/>
        <w:adjustRightInd/>
        <w:spacing w:before="463" w:line="289" w:lineRule="exact"/>
        <w:ind w:left="216"/>
        <w:textAlignment w:val="baseline"/>
        <w:rPr>
          <w:sz w:val="25"/>
          <w:szCs w:val="25"/>
          <w:lang w:val="es-ES" w:eastAsia="es-ES"/>
        </w:rPr>
      </w:pPr>
      <w:r>
        <w:rPr>
          <w:sz w:val="25"/>
          <w:szCs w:val="25"/>
          <w:lang w:val="es-ES" w:eastAsia="es-ES"/>
        </w:rPr>
        <w:t>Señ</w:t>
      </w:r>
      <w:r>
        <w:rPr>
          <w:sz w:val="25"/>
          <w:szCs w:val="25"/>
          <w:lang w:val="es-ES" w:eastAsia="es-ES"/>
        </w:rPr>
        <w:t>ala el numeral 353 de la LGAP:</w:t>
      </w:r>
    </w:p>
    <w:p w:rsidR="00000000" w:rsidRDefault="00A25DF7">
      <w:pPr>
        <w:kinsoku w:val="0"/>
        <w:overflowPunct w:val="0"/>
        <w:autoSpaceDE/>
        <w:autoSpaceDN/>
        <w:adjustRightInd/>
        <w:spacing w:before="49" w:line="555" w:lineRule="exact"/>
        <w:ind w:left="792"/>
        <w:textAlignment w:val="baseline"/>
        <w:rPr>
          <w:sz w:val="24"/>
          <w:szCs w:val="24"/>
          <w:lang w:eastAsia="en-US"/>
        </w:rPr>
      </w:pPr>
      <w:r>
        <w:rPr>
          <w:b/>
          <w:bCs/>
          <w:i/>
          <w:iCs/>
          <w:sz w:val="25"/>
          <w:szCs w:val="25"/>
          <w:lang w:val="es-ES" w:eastAsia="es-ES"/>
        </w:rPr>
        <w:t>"Del Recurso de Revisión</w:t>
      </w:r>
      <w:r>
        <w:rPr>
          <w:b/>
          <w:bCs/>
          <w:i/>
          <w:iCs/>
          <w:sz w:val="25"/>
          <w:szCs w:val="25"/>
          <w:lang w:val="es-ES" w:eastAsia="es-ES"/>
        </w:rPr>
        <w:br/>
      </w:r>
      <w:r>
        <w:rPr>
          <w:i/>
          <w:iCs/>
          <w:sz w:val="25"/>
          <w:szCs w:val="25"/>
          <w:lang w:val="es-ES" w:eastAsia="es-ES"/>
        </w:rPr>
        <w:t>Artículo 353.</w:t>
      </w:r>
      <w:r>
        <w:rPr>
          <w:i/>
          <w:iCs/>
          <w:sz w:val="25"/>
          <w:szCs w:val="25"/>
          <w:lang w:val="es-ES" w:eastAsia="es-ES"/>
        </w:rPr>
        <w:noBreakHyphen/>
      </w:r>
    </w:p>
    <w:p w:rsidR="00000000" w:rsidRDefault="00A25DF7">
      <w:pPr>
        <w:kinsoku w:val="0"/>
        <w:overflowPunct w:val="0"/>
        <w:autoSpaceDE/>
        <w:autoSpaceDN/>
        <w:adjustRightInd/>
        <w:spacing w:before="325" w:line="290" w:lineRule="exact"/>
        <w:ind w:left="792" w:right="792"/>
        <w:jc w:val="both"/>
        <w:textAlignment w:val="baseline"/>
        <w:rPr>
          <w:i/>
          <w:iCs/>
          <w:sz w:val="25"/>
          <w:szCs w:val="25"/>
          <w:lang w:val="es-ES" w:eastAsia="es-ES"/>
        </w:rPr>
      </w:pPr>
      <w:r>
        <w:rPr>
          <w:i/>
          <w:iCs/>
          <w:sz w:val="25"/>
          <w:szCs w:val="25"/>
          <w:lang w:val="es-ES" w:eastAsia="es-ES"/>
        </w:rPr>
        <w:t xml:space="preserve">1. Podrá interponerse recurso de revisión ante el jerarca de la respectiva Administración contra aquellos </w:t>
      </w:r>
      <w:r>
        <w:rPr>
          <w:b/>
          <w:bCs/>
          <w:sz w:val="25"/>
          <w:szCs w:val="25"/>
          <w:u w:val="single"/>
          <w:lang w:val="es-ES" w:eastAsia="es-ES"/>
        </w:rPr>
        <w:t>actos finales firmes</w:t>
      </w:r>
      <w:r>
        <w:rPr>
          <w:i/>
          <w:iCs/>
          <w:sz w:val="25"/>
          <w:szCs w:val="25"/>
          <w:lang w:val="es-ES" w:eastAsia="es-ES"/>
        </w:rPr>
        <w:t xml:space="preserve"> en que concurra alguna de las circunstancias siguientes:</w:t>
      </w:r>
    </w:p>
    <w:p w:rsidR="00000000" w:rsidRDefault="00A25DF7">
      <w:pPr>
        <w:numPr>
          <w:ilvl w:val="0"/>
          <w:numId w:val="1"/>
        </w:numPr>
        <w:kinsoku w:val="0"/>
        <w:overflowPunct w:val="0"/>
        <w:autoSpaceDE/>
        <w:autoSpaceDN/>
        <w:adjustRightInd/>
        <w:spacing w:before="276" w:line="289" w:lineRule="exact"/>
        <w:ind w:right="792"/>
        <w:jc w:val="both"/>
        <w:textAlignment w:val="baseline"/>
        <w:rPr>
          <w:i/>
          <w:iCs/>
          <w:sz w:val="25"/>
          <w:szCs w:val="25"/>
          <w:lang w:val="es-ES" w:eastAsia="es-ES"/>
        </w:rPr>
      </w:pPr>
      <w:r>
        <w:rPr>
          <w:i/>
          <w:iCs/>
          <w:sz w:val="25"/>
          <w:szCs w:val="25"/>
          <w:lang w:val="es-ES" w:eastAsia="es-ES"/>
        </w:rPr>
        <w:t>Cuando al dictarlos se hubiere incurrido en manifiesto error de hecho que aparezca de los propios documentos incorporados al expediente;</w:t>
      </w:r>
    </w:p>
    <w:p w:rsidR="00000000" w:rsidRDefault="00A25DF7">
      <w:pPr>
        <w:numPr>
          <w:ilvl w:val="0"/>
          <w:numId w:val="1"/>
        </w:numPr>
        <w:kinsoku w:val="0"/>
        <w:overflowPunct w:val="0"/>
        <w:autoSpaceDE/>
        <w:autoSpaceDN/>
        <w:adjustRightInd/>
        <w:spacing w:before="268" w:line="291" w:lineRule="exact"/>
        <w:ind w:right="792"/>
        <w:jc w:val="both"/>
        <w:textAlignment w:val="baseline"/>
        <w:rPr>
          <w:i/>
          <w:iCs/>
          <w:sz w:val="25"/>
          <w:szCs w:val="25"/>
          <w:lang w:val="es-ES" w:eastAsia="es-ES"/>
        </w:rPr>
      </w:pPr>
      <w:r>
        <w:rPr>
          <w:i/>
          <w:iCs/>
          <w:sz w:val="25"/>
          <w:szCs w:val="25"/>
          <w:lang w:val="es-ES" w:eastAsia="es-ES"/>
        </w:rPr>
        <w:t xml:space="preserve">Cuando aparezcan documentos de valor esencial para la resolución del asunto, ignorados al dictarse la resolución o </w:t>
      </w:r>
      <w:r>
        <w:rPr>
          <w:i/>
          <w:iCs/>
          <w:sz w:val="25"/>
          <w:szCs w:val="25"/>
          <w:lang w:val="es-ES" w:eastAsia="es-ES"/>
        </w:rPr>
        <w:t>de imposible aportación entonces al expediente;</w:t>
      </w:r>
    </w:p>
    <w:p w:rsidR="00000000" w:rsidRDefault="00A25DF7">
      <w:pPr>
        <w:numPr>
          <w:ilvl w:val="0"/>
          <w:numId w:val="1"/>
        </w:numPr>
        <w:kinsoku w:val="0"/>
        <w:overflowPunct w:val="0"/>
        <w:autoSpaceDE/>
        <w:autoSpaceDN/>
        <w:adjustRightInd/>
        <w:spacing w:before="271" w:line="291" w:lineRule="exact"/>
        <w:ind w:right="792"/>
        <w:jc w:val="both"/>
        <w:textAlignment w:val="baseline"/>
        <w:rPr>
          <w:i/>
          <w:iCs/>
          <w:sz w:val="25"/>
          <w:szCs w:val="25"/>
          <w:lang w:val="es-ES" w:eastAsia="es-ES"/>
        </w:rPr>
      </w:pPr>
      <w:r>
        <w:rPr>
          <w:i/>
          <w:iCs/>
          <w:sz w:val="25"/>
          <w:szCs w:val="25"/>
          <w:lang w:val="es-ES" w:eastAsia="es-ES"/>
        </w:rPr>
        <w:t>Cuando en el acto hayan influido esencialmente documentos o testimonios declarados falsos por sentencia judicial firme anterior o posterior del acto, siempre que, en el primer caso, el interesado desconociera</w:t>
      </w:r>
      <w:r>
        <w:rPr>
          <w:i/>
          <w:iCs/>
          <w:sz w:val="25"/>
          <w:szCs w:val="25"/>
          <w:lang w:val="es-ES" w:eastAsia="es-ES"/>
        </w:rPr>
        <w:t xml:space="preserve"> la declaración de falsedad; y</w:t>
      </w:r>
    </w:p>
    <w:p w:rsidR="00000000" w:rsidRDefault="00A25DF7">
      <w:pPr>
        <w:numPr>
          <w:ilvl w:val="0"/>
          <w:numId w:val="1"/>
        </w:numPr>
        <w:kinsoku w:val="0"/>
        <w:overflowPunct w:val="0"/>
        <w:autoSpaceDE/>
        <w:autoSpaceDN/>
        <w:adjustRightInd/>
        <w:spacing w:before="270" w:line="289" w:lineRule="exact"/>
        <w:ind w:right="792"/>
        <w:jc w:val="both"/>
        <w:textAlignment w:val="baseline"/>
        <w:rPr>
          <w:i/>
          <w:iCs/>
          <w:sz w:val="25"/>
          <w:szCs w:val="25"/>
          <w:lang w:val="es-ES" w:eastAsia="es-ES"/>
        </w:rPr>
      </w:pPr>
      <w:r>
        <w:rPr>
          <w:i/>
          <w:iCs/>
          <w:sz w:val="25"/>
          <w:szCs w:val="25"/>
          <w:lang w:val="es-ES" w:eastAsia="es-ES"/>
        </w:rPr>
        <w:t>Cuando el acto se hubiera dictado como consecuencia de prevaricato, cohecho, violencia u otra maquinación fraudulenta y se haya declarado así en virtud de sentencia judicial. " (el destacado no es del original)</w:t>
      </w:r>
    </w:p>
    <w:p w:rsidR="00000000" w:rsidRDefault="00A25DF7">
      <w:pPr>
        <w:kinsoku w:val="0"/>
        <w:overflowPunct w:val="0"/>
        <w:autoSpaceDE/>
        <w:autoSpaceDN/>
        <w:adjustRightInd/>
        <w:spacing w:before="476" w:line="332" w:lineRule="exact"/>
        <w:ind w:left="216" w:right="216"/>
        <w:jc w:val="both"/>
        <w:textAlignment w:val="baseline"/>
        <w:rPr>
          <w:sz w:val="25"/>
          <w:szCs w:val="25"/>
          <w:lang w:val="es-ES" w:eastAsia="es-ES"/>
        </w:rPr>
      </w:pPr>
      <w:r>
        <w:rPr>
          <w:sz w:val="25"/>
          <w:szCs w:val="25"/>
          <w:lang w:val="es-ES" w:eastAsia="es-ES"/>
        </w:rPr>
        <w:t>Como ya se dij</w:t>
      </w:r>
      <w:r>
        <w:rPr>
          <w:sz w:val="25"/>
          <w:szCs w:val="25"/>
          <w:lang w:val="es-ES" w:eastAsia="es-ES"/>
        </w:rPr>
        <w:t>o, la doctrina y la jurisprudencia han indicado que para que proceda el Recurso de Revisión deberá fundamentarse en las causales taxativamente fijadas por Ley. Sobre este aspecto ha indicado la Procuraduría General de la República:</w:t>
      </w:r>
    </w:p>
    <w:p w:rsidR="00000000" w:rsidRDefault="00A25DF7">
      <w:pPr>
        <w:kinsoku w:val="0"/>
        <w:overflowPunct w:val="0"/>
        <w:autoSpaceDE/>
        <w:autoSpaceDN/>
        <w:adjustRightInd/>
        <w:spacing w:before="693" w:line="293" w:lineRule="exact"/>
        <w:ind w:left="792" w:right="792"/>
        <w:jc w:val="both"/>
        <w:textAlignment w:val="baseline"/>
        <w:rPr>
          <w:i/>
          <w:iCs/>
          <w:spacing w:val="-2"/>
          <w:sz w:val="25"/>
          <w:szCs w:val="25"/>
          <w:lang w:val="es-ES" w:eastAsia="es-ES"/>
        </w:rPr>
      </w:pPr>
      <w:r>
        <w:rPr>
          <w:i/>
          <w:iCs/>
          <w:spacing w:val="-2"/>
          <w:sz w:val="25"/>
          <w:szCs w:val="25"/>
          <w:lang w:val="es-ES" w:eastAsia="es-ES"/>
        </w:rPr>
        <w:t>"Los recursos extraordin</w:t>
      </w:r>
      <w:r>
        <w:rPr>
          <w:i/>
          <w:iCs/>
          <w:spacing w:val="-2"/>
          <w:sz w:val="25"/>
          <w:szCs w:val="25"/>
          <w:lang w:val="es-ES" w:eastAsia="es-ES"/>
        </w:rPr>
        <w:t>arios son los que sólo pueden tener lugar, motivos tasados por ley y perfectamente precisados. En términos tales que cuando no se dan esos motivos, no es posible establecer esos recursos. El recurso de revisión siempre ha sido extraordinario tanto en lo ju</w:t>
      </w:r>
      <w:r>
        <w:rPr>
          <w:i/>
          <w:iCs/>
          <w:spacing w:val="-2"/>
          <w:sz w:val="25"/>
          <w:szCs w:val="25"/>
          <w:lang w:val="es-ES" w:eastAsia="es-ES"/>
        </w:rPr>
        <w:t>dicial como en lo administrativo porque sólo cabe, como el de Casación, por motivos taxativamente fijados por ley. Fuera de los casos previstos no hay posibilidad de recurso de revisión aún cuando pueda haber la conciencia</w:t>
      </w:r>
    </w:p>
    <w:p w:rsidR="00000000" w:rsidRDefault="00A25DF7">
      <w:pPr>
        <w:widowControl/>
        <w:rPr>
          <w:sz w:val="24"/>
          <w:szCs w:val="24"/>
        </w:rPr>
        <w:sectPr w:rsidR="00000000">
          <w:pgSz w:w="12278" w:h="15782"/>
          <w:pgMar w:top="2060" w:right="1838" w:bottom="201" w:left="1440" w:header="720" w:footer="720" w:gutter="0"/>
          <w:cols w:space="720"/>
          <w:noEndnote/>
        </w:sectPr>
      </w:pPr>
    </w:p>
    <w:p w:rsidR="00000000" w:rsidRDefault="00A25DF7">
      <w:pPr>
        <w:kinsoku w:val="0"/>
        <w:overflowPunct w:val="0"/>
        <w:autoSpaceDE/>
        <w:autoSpaceDN/>
        <w:adjustRightInd/>
        <w:spacing w:before="16" w:line="287" w:lineRule="exact"/>
        <w:ind w:left="720" w:right="792"/>
        <w:jc w:val="both"/>
        <w:textAlignment w:val="baseline"/>
        <w:rPr>
          <w:sz w:val="25"/>
          <w:szCs w:val="25"/>
          <w:lang w:val="es-ES" w:eastAsia="es-ES"/>
        </w:rPr>
      </w:pPr>
      <w:r>
        <w:rPr>
          <w:i/>
          <w:iCs/>
          <w:sz w:val="25"/>
          <w:szCs w:val="25"/>
          <w:lang w:val="es-ES" w:eastAsia="es-ES"/>
        </w:rPr>
        <w:lastRenderedPageBreak/>
        <w:t xml:space="preserve">clara de que ha habido una infracción grave. Si no encaja dentro de las hipótesis previstas no hay posibilidad de recurso de revisión. ( ...)". (QUIRÓS CORONADO Roberto, </w:t>
      </w:r>
      <w:r>
        <w:rPr>
          <w:i/>
          <w:iCs/>
          <w:sz w:val="25"/>
          <w:szCs w:val="25"/>
          <w:u w:val="single"/>
          <w:lang w:val="es-ES" w:eastAsia="es-ES"/>
        </w:rPr>
        <w:t>Ley General de la Administración Pública concordada y anotada con</w:t>
      </w:r>
      <w:r>
        <w:rPr>
          <w:i/>
          <w:iCs/>
          <w:sz w:val="25"/>
          <w:szCs w:val="25"/>
          <w:u w:val="single"/>
          <w:lang w:val="es-ES" w:eastAsia="es-ES"/>
        </w:rPr>
        <w:t xml:space="preserve"> el debate legislativo y la jurisprudencia constitucional,</w:t>
      </w:r>
      <w:r>
        <w:rPr>
          <w:i/>
          <w:iCs/>
          <w:sz w:val="25"/>
          <w:szCs w:val="25"/>
          <w:lang w:val="es-ES" w:eastAsia="es-ES"/>
        </w:rPr>
        <w:t xml:space="preserve"> Editorial ASELEX S.A., San José, Costa Rica, </w:t>
      </w:r>
      <w:r>
        <w:rPr>
          <w:sz w:val="25"/>
          <w:szCs w:val="25"/>
          <w:lang w:val="es-ES" w:eastAsia="es-ES"/>
        </w:rPr>
        <w:t>1996, pág. 407).</w:t>
      </w:r>
    </w:p>
    <w:p w:rsidR="00000000" w:rsidRDefault="00A25DF7">
      <w:pPr>
        <w:kinsoku w:val="0"/>
        <w:overflowPunct w:val="0"/>
        <w:autoSpaceDE/>
        <w:autoSpaceDN/>
        <w:adjustRightInd/>
        <w:spacing w:before="280" w:line="288" w:lineRule="exact"/>
        <w:ind w:left="720"/>
        <w:textAlignment w:val="baseline"/>
        <w:rPr>
          <w:spacing w:val="1"/>
          <w:sz w:val="25"/>
          <w:szCs w:val="25"/>
          <w:lang w:val="es-ES" w:eastAsia="es-ES"/>
        </w:rPr>
      </w:pPr>
      <w:r>
        <w:rPr>
          <w:spacing w:val="1"/>
          <w:sz w:val="25"/>
          <w:szCs w:val="25"/>
          <w:lang w:val="es-ES" w:eastAsia="es-ES"/>
        </w:rPr>
        <w:t>De igual manera la doctrina española expresa:</w:t>
      </w:r>
    </w:p>
    <w:p w:rsidR="00000000" w:rsidRDefault="00A25DF7">
      <w:pPr>
        <w:kinsoku w:val="0"/>
        <w:overflowPunct w:val="0"/>
        <w:autoSpaceDE/>
        <w:autoSpaceDN/>
        <w:adjustRightInd/>
        <w:spacing w:before="284" w:line="288" w:lineRule="exact"/>
        <w:ind w:left="720" w:right="792"/>
        <w:jc w:val="both"/>
        <w:textAlignment w:val="baseline"/>
        <w:rPr>
          <w:i/>
          <w:iCs/>
          <w:sz w:val="25"/>
          <w:szCs w:val="25"/>
          <w:lang w:val="es-ES" w:eastAsia="es-ES"/>
        </w:rPr>
      </w:pPr>
      <w:r>
        <w:rPr>
          <w:i/>
          <w:iCs/>
          <w:sz w:val="25"/>
          <w:szCs w:val="25"/>
          <w:lang w:val="es-ES" w:eastAsia="es-ES"/>
        </w:rPr>
        <w:t>"Configurado con carácter extraordinario, en la medida en que só</w:t>
      </w:r>
      <w:r>
        <w:rPr>
          <w:i/>
          <w:iCs/>
          <w:sz w:val="25"/>
          <w:szCs w:val="25"/>
          <w:lang w:val="es-ES" w:eastAsia="es-ES"/>
        </w:rPr>
        <w:t>lo procede en los concretos supuestos previstos por la Ley y en base a motivos igualmente tasados por ella (...), constituye, en principio, más que un recurso propiamente dicho, un remedio excepcional frente a ciertos actos que han ganado firmeza (...)."</w:t>
      </w:r>
    </w:p>
    <w:p w:rsidR="00000000" w:rsidRDefault="00A25DF7">
      <w:pPr>
        <w:kinsoku w:val="0"/>
        <w:overflowPunct w:val="0"/>
        <w:autoSpaceDE/>
        <w:autoSpaceDN/>
        <w:adjustRightInd/>
        <w:spacing w:before="289" w:line="284" w:lineRule="exact"/>
        <w:ind w:left="720" w:right="792"/>
        <w:jc w:val="both"/>
        <w:textAlignment w:val="baseline"/>
        <w:rPr>
          <w:sz w:val="25"/>
          <w:szCs w:val="25"/>
          <w:lang w:val="es-ES" w:eastAsia="es-ES"/>
        </w:rPr>
      </w:pPr>
      <w:r>
        <w:rPr>
          <w:sz w:val="25"/>
          <w:szCs w:val="25"/>
          <w:lang w:val="es-ES" w:eastAsia="es-ES"/>
        </w:rPr>
        <w:t>(</w:t>
      </w:r>
      <w:r>
        <w:rPr>
          <w:sz w:val="25"/>
          <w:szCs w:val="25"/>
          <w:lang w:val="es-ES" w:eastAsia="es-ES"/>
        </w:rPr>
        <w:t xml:space="preserve">GARCIA DE ENTERRIA Eduardo y FERNANDEZ Tomás Ramón, </w:t>
      </w:r>
      <w:r>
        <w:rPr>
          <w:sz w:val="25"/>
          <w:szCs w:val="25"/>
          <w:u w:val="single"/>
          <w:lang w:val="es-ES" w:eastAsia="es-ES"/>
        </w:rPr>
        <w:t>Op.  cit.,</w:t>
      </w:r>
      <w:r>
        <w:rPr>
          <w:sz w:val="25"/>
          <w:szCs w:val="25"/>
          <w:lang w:val="es-ES" w:eastAsia="es-ES"/>
        </w:rPr>
        <w:t xml:space="preserve"> pág. 446).</w:t>
      </w:r>
    </w:p>
    <w:p w:rsidR="00000000" w:rsidRDefault="00A25DF7">
      <w:pPr>
        <w:kinsoku w:val="0"/>
        <w:overflowPunct w:val="0"/>
        <w:autoSpaceDE/>
        <w:autoSpaceDN/>
        <w:adjustRightInd/>
        <w:spacing w:before="281" w:line="288" w:lineRule="exact"/>
        <w:ind w:left="720" w:right="792"/>
        <w:jc w:val="both"/>
        <w:textAlignment w:val="baseline"/>
        <w:rPr>
          <w:sz w:val="25"/>
          <w:szCs w:val="25"/>
          <w:lang w:val="es-ES" w:eastAsia="es-ES"/>
        </w:rPr>
      </w:pPr>
      <w:r>
        <w:rPr>
          <w:sz w:val="25"/>
          <w:szCs w:val="25"/>
          <w:lang w:val="es-ES" w:eastAsia="es-ES"/>
        </w:rPr>
        <w:t xml:space="preserve">Bajo este contexto, ante el carácter excepcional o extraordinario del recurso de revisión no debe perderse de vista que éste sólo procede en los supuestos expresamente previstos por </w:t>
      </w:r>
      <w:r>
        <w:rPr>
          <w:sz w:val="25"/>
          <w:szCs w:val="25"/>
          <w:lang w:val="es-ES" w:eastAsia="es-ES"/>
        </w:rPr>
        <w:t>la ley."</w:t>
      </w:r>
    </w:p>
    <w:p w:rsidR="00000000" w:rsidRDefault="00A25DF7">
      <w:pPr>
        <w:kinsoku w:val="0"/>
        <w:overflowPunct w:val="0"/>
        <w:autoSpaceDE/>
        <w:autoSpaceDN/>
        <w:adjustRightInd/>
        <w:spacing w:before="281" w:line="285" w:lineRule="exact"/>
        <w:ind w:left="720"/>
        <w:textAlignment w:val="baseline"/>
        <w:rPr>
          <w:b/>
          <w:bCs/>
          <w:i/>
          <w:iCs/>
          <w:spacing w:val="1"/>
          <w:sz w:val="25"/>
          <w:szCs w:val="25"/>
          <w:lang w:val="es-ES" w:eastAsia="es-ES"/>
        </w:rPr>
      </w:pPr>
      <w:r>
        <w:rPr>
          <w:b/>
          <w:bCs/>
          <w:i/>
          <w:iCs/>
          <w:spacing w:val="1"/>
          <w:sz w:val="25"/>
          <w:szCs w:val="25"/>
          <w:lang w:val="es-ES" w:eastAsia="es-ES"/>
        </w:rPr>
        <w:t>(Dictamen No. C-374-2004, del 13 de Diciembre del 2004, de la PGR)</w:t>
      </w:r>
    </w:p>
    <w:p w:rsidR="00000000" w:rsidRDefault="00A25DF7">
      <w:pPr>
        <w:kinsoku w:val="0"/>
        <w:overflowPunct w:val="0"/>
        <w:autoSpaceDE/>
        <w:autoSpaceDN/>
        <w:adjustRightInd/>
        <w:spacing w:before="743" w:line="337" w:lineRule="exact"/>
        <w:ind w:left="144" w:right="216"/>
        <w:jc w:val="both"/>
        <w:textAlignment w:val="baseline"/>
        <w:rPr>
          <w:sz w:val="25"/>
          <w:szCs w:val="25"/>
          <w:lang w:val="es-ES" w:eastAsia="es-ES"/>
        </w:rPr>
      </w:pPr>
      <w:r>
        <w:rPr>
          <w:sz w:val="25"/>
          <w:szCs w:val="25"/>
          <w:lang w:val="es-ES" w:eastAsia="es-ES"/>
        </w:rPr>
        <w:t>En igual sentido, en su Dictamen C-157-2003 la Procuraduría General de la República se ha referido al carácter excepcional del Recurso de Revisión, indicando:</w:t>
      </w:r>
    </w:p>
    <w:p w:rsidR="00000000" w:rsidRDefault="00A25DF7">
      <w:pPr>
        <w:kinsoku w:val="0"/>
        <w:overflowPunct w:val="0"/>
        <w:autoSpaceDE/>
        <w:autoSpaceDN/>
        <w:adjustRightInd/>
        <w:spacing w:before="316" w:line="288" w:lineRule="exact"/>
        <w:ind w:left="720" w:right="792"/>
        <w:jc w:val="both"/>
        <w:textAlignment w:val="baseline"/>
        <w:rPr>
          <w:sz w:val="25"/>
          <w:szCs w:val="25"/>
          <w:lang w:val="es-ES" w:eastAsia="es-ES"/>
        </w:rPr>
      </w:pPr>
      <w:r>
        <w:rPr>
          <w:sz w:val="25"/>
          <w:szCs w:val="25"/>
          <w:lang w:val="es-ES" w:eastAsia="es-ES"/>
        </w:rPr>
        <w:t>"De las citadas doctrinarias transcritas se desprende que el recurso de revisión es de carácter extraordinario o excepcional, lo cual implica que sólo procede en los supuestos expresamente previstos por la ley.</w:t>
      </w:r>
    </w:p>
    <w:p w:rsidR="00000000" w:rsidRDefault="00A25DF7">
      <w:pPr>
        <w:kinsoku w:val="0"/>
        <w:overflowPunct w:val="0"/>
        <w:autoSpaceDE/>
        <w:autoSpaceDN/>
        <w:adjustRightInd/>
        <w:spacing w:before="276" w:line="292" w:lineRule="exact"/>
        <w:ind w:left="720" w:right="792"/>
        <w:jc w:val="both"/>
        <w:textAlignment w:val="baseline"/>
        <w:rPr>
          <w:sz w:val="25"/>
          <w:szCs w:val="25"/>
          <w:lang w:val="es-ES" w:eastAsia="es-ES"/>
        </w:rPr>
      </w:pPr>
      <w:r>
        <w:rPr>
          <w:sz w:val="25"/>
          <w:szCs w:val="25"/>
          <w:lang w:val="es-ES" w:eastAsia="es-ES"/>
        </w:rPr>
        <w:t>Ahora bien, tal y como lo apuntó la Procuradu</w:t>
      </w:r>
      <w:r>
        <w:rPr>
          <w:sz w:val="25"/>
          <w:szCs w:val="25"/>
          <w:lang w:val="es-ES" w:eastAsia="es-ES"/>
        </w:rPr>
        <w:t>ría General de la República en el Dictamen N° C-174-98, del 16 de diciembre de 1998, los supuestos previstos por el artículo 353 de la Ley General de la Administración Pública coinciden con los estipulados por la legislación española como motivos de admisi</w:t>
      </w:r>
      <w:r>
        <w:rPr>
          <w:sz w:val="25"/>
          <w:szCs w:val="25"/>
          <w:lang w:val="es-ES" w:eastAsia="es-ES"/>
        </w:rPr>
        <w:t xml:space="preserve">ón de un recurso de esta naturaleza. Estos motivos han sido objeto de comentario por parte del tratadista Jesús González Pérez —en su obra </w:t>
      </w:r>
      <w:r>
        <w:rPr>
          <w:sz w:val="25"/>
          <w:szCs w:val="25"/>
          <w:u w:val="single"/>
          <w:lang w:val="es-ES" w:eastAsia="es-ES"/>
        </w:rPr>
        <w:t xml:space="preserve">"Los recursos administrativos y económico-administrativo", </w:t>
      </w:r>
      <w:r>
        <w:rPr>
          <w:sz w:val="25"/>
          <w:szCs w:val="25"/>
          <w:lang w:val="es-ES" w:eastAsia="es-ES"/>
        </w:rPr>
        <w:t xml:space="preserve">Editorial CIVITAS S.A., Madrid, 1975, pág. 299-306) quien </w:t>
      </w:r>
      <w:r>
        <w:rPr>
          <w:sz w:val="25"/>
          <w:szCs w:val="25"/>
          <w:lang w:val="es-ES" w:eastAsia="es-ES"/>
        </w:rPr>
        <w:t>desarrolla claramente los requisitos de cada motivo.</w:t>
      </w:r>
    </w:p>
    <w:p w:rsidR="00000000" w:rsidRDefault="00A25DF7">
      <w:pPr>
        <w:widowControl/>
        <w:rPr>
          <w:sz w:val="24"/>
          <w:szCs w:val="24"/>
        </w:rPr>
        <w:sectPr w:rsidR="00000000">
          <w:pgSz w:w="12278" w:h="15782"/>
          <w:pgMar w:top="2200" w:right="1653" w:bottom="101" w:left="1625" w:header="720" w:footer="720" w:gutter="0"/>
          <w:cols w:space="720"/>
          <w:noEndnote/>
        </w:sectPr>
      </w:pPr>
    </w:p>
    <w:p w:rsidR="00000000" w:rsidRDefault="00A25DF7">
      <w:pPr>
        <w:kinsoku w:val="0"/>
        <w:overflowPunct w:val="0"/>
        <w:autoSpaceDE/>
        <w:autoSpaceDN/>
        <w:adjustRightInd/>
        <w:spacing w:before="4" w:line="298" w:lineRule="exact"/>
        <w:ind w:left="648" w:right="648"/>
        <w:jc w:val="both"/>
        <w:textAlignment w:val="baseline"/>
        <w:rPr>
          <w:sz w:val="26"/>
          <w:szCs w:val="26"/>
          <w:lang w:val="es-ES" w:eastAsia="es-ES"/>
        </w:rPr>
      </w:pPr>
      <w:r>
        <w:rPr>
          <w:sz w:val="26"/>
          <w:szCs w:val="26"/>
          <w:lang w:val="es-ES" w:eastAsia="es-ES"/>
        </w:rPr>
        <w:lastRenderedPageBreak/>
        <w:t>Al tratar el primero de los motivos, el autor señala que el error de hecho, debe ser, no en los supuestos normativos aplicables sino en los supuestos de hech</w:t>
      </w:r>
      <w:r>
        <w:rPr>
          <w:sz w:val="26"/>
          <w:szCs w:val="26"/>
          <w:lang w:val="es-ES" w:eastAsia="es-ES"/>
        </w:rPr>
        <w:t>o; a su vez, que no basta que se dé el error sino que el mismo debe ser evidente y posible de demostrar sin mayor esfuerzo. Por último, debe proceder de los documentos incorporados al expediente, no de elementos extraños a éste ni de declaraciones jurisdic</w:t>
      </w:r>
      <w:r>
        <w:rPr>
          <w:sz w:val="26"/>
          <w:szCs w:val="26"/>
          <w:lang w:val="es-ES" w:eastAsia="es-ES"/>
        </w:rPr>
        <w:t>cionales.</w:t>
      </w:r>
    </w:p>
    <w:p w:rsidR="00000000" w:rsidRDefault="00A25DF7">
      <w:pPr>
        <w:kinsoku w:val="0"/>
        <w:overflowPunct w:val="0"/>
        <w:autoSpaceDE/>
        <w:autoSpaceDN/>
        <w:adjustRightInd/>
        <w:spacing w:before="276" w:line="301" w:lineRule="exact"/>
        <w:ind w:left="648" w:right="648"/>
        <w:jc w:val="both"/>
        <w:textAlignment w:val="baseline"/>
        <w:rPr>
          <w:sz w:val="26"/>
          <w:szCs w:val="26"/>
          <w:lang w:val="es-ES" w:eastAsia="es-ES"/>
        </w:rPr>
      </w:pPr>
      <w:r>
        <w:rPr>
          <w:sz w:val="26"/>
          <w:szCs w:val="26"/>
          <w:lang w:val="es-ES" w:eastAsia="es-ES"/>
        </w:rPr>
        <w:t>En el segundo de los motivos, los documentos a los que este se refiere, deben tener tal importancia en la decisión del asunto, que de suponerse su incorporación al expediente, el resultado fuese necesariamente distinto. Asimismo se requiere que l</w:t>
      </w:r>
      <w:r>
        <w:rPr>
          <w:sz w:val="26"/>
          <w:szCs w:val="26"/>
          <w:lang w:val="es-ES" w:eastAsia="es-ES"/>
        </w:rPr>
        <w:t>a parte no conociese de ellos ni pudiese aportarlos al proceso al momento de su tramitación.</w:t>
      </w:r>
    </w:p>
    <w:p w:rsidR="00000000" w:rsidRDefault="00A25DF7">
      <w:pPr>
        <w:kinsoku w:val="0"/>
        <w:overflowPunct w:val="0"/>
        <w:autoSpaceDE/>
        <w:autoSpaceDN/>
        <w:adjustRightInd/>
        <w:spacing w:before="285" w:line="300" w:lineRule="exact"/>
        <w:ind w:left="648" w:right="648"/>
        <w:jc w:val="both"/>
        <w:textAlignment w:val="baseline"/>
        <w:rPr>
          <w:sz w:val="26"/>
          <w:szCs w:val="26"/>
          <w:lang w:val="es-ES" w:eastAsia="es-ES"/>
        </w:rPr>
      </w:pPr>
      <w:r>
        <w:rPr>
          <w:sz w:val="26"/>
          <w:szCs w:val="26"/>
          <w:lang w:val="es-ES" w:eastAsia="es-ES"/>
        </w:rPr>
        <w:t>En cuanto a la tercera causal, los documentos o testimonios declarados falsos, han de haber sido tomados en cuenta para fijar los supuestos de hecho de la motivaci</w:t>
      </w:r>
      <w:r>
        <w:rPr>
          <w:sz w:val="26"/>
          <w:szCs w:val="26"/>
          <w:lang w:val="es-ES" w:eastAsia="es-ES"/>
        </w:rPr>
        <w:t xml:space="preserve">ón del acto, con lo que conllevaron a tener por probados ciertos hechos que en realidad provocaron una resolución distinta. A su vez la sentencia que declara la falsedad de tales documentos debe estar firme y ser posterior al procedimiento, o bien en caso </w:t>
      </w:r>
      <w:r>
        <w:rPr>
          <w:sz w:val="26"/>
          <w:szCs w:val="26"/>
          <w:lang w:val="es-ES" w:eastAsia="es-ES"/>
        </w:rPr>
        <w:t>de ser anterior que el recurrente compruebe que la ignoraba.</w:t>
      </w:r>
    </w:p>
    <w:p w:rsidR="00000000" w:rsidRDefault="00A25DF7">
      <w:pPr>
        <w:kinsoku w:val="0"/>
        <w:overflowPunct w:val="0"/>
        <w:autoSpaceDE/>
        <w:autoSpaceDN/>
        <w:adjustRightInd/>
        <w:spacing w:before="276" w:after="611" w:line="305" w:lineRule="exact"/>
        <w:ind w:left="648" w:right="648"/>
        <w:jc w:val="both"/>
        <w:textAlignment w:val="baseline"/>
        <w:rPr>
          <w:sz w:val="26"/>
          <w:szCs w:val="26"/>
          <w:lang w:val="es-ES" w:eastAsia="es-ES"/>
        </w:rPr>
      </w:pPr>
      <w:r>
        <w:rPr>
          <w:sz w:val="26"/>
          <w:szCs w:val="26"/>
          <w:lang w:val="es-ES" w:eastAsia="es-ES"/>
        </w:rPr>
        <w:t>Finalmente en el último de los supuestos, se precisa también la firmeza de la sentencia que condena el delito."</w:t>
      </w:r>
    </w:p>
    <w:p w:rsidR="00000000" w:rsidRDefault="00A25DF7">
      <w:pPr>
        <w:kinsoku w:val="0"/>
        <w:overflowPunct w:val="0"/>
        <w:autoSpaceDE/>
        <w:autoSpaceDN/>
        <w:adjustRightInd/>
        <w:spacing w:line="319" w:lineRule="exact"/>
        <w:jc w:val="both"/>
        <w:textAlignment w:val="baseline"/>
        <w:rPr>
          <w:sz w:val="26"/>
          <w:szCs w:val="26"/>
          <w:lang w:val="es-ES" w:eastAsia="es-ES"/>
        </w:rPr>
      </w:pPr>
      <w:r>
        <w:rPr>
          <w:sz w:val="26"/>
          <w:szCs w:val="26"/>
          <w:lang w:val="es-ES" w:eastAsia="es-ES"/>
        </w:rPr>
        <w:t>En la especie y segú</w:t>
      </w:r>
      <w:r>
        <w:rPr>
          <w:sz w:val="26"/>
          <w:szCs w:val="26"/>
          <w:lang w:val="es-ES" w:eastAsia="es-ES"/>
        </w:rPr>
        <w:t>n la naturaleza del Acto Impugnado y de los Argumentos del Recurrente, la REVISIÓN pedida no aplica y es improcedente.</w:t>
      </w:r>
    </w:p>
    <w:p w:rsidR="00000000" w:rsidRDefault="00A25DF7">
      <w:pPr>
        <w:kinsoku w:val="0"/>
        <w:overflowPunct w:val="0"/>
        <w:autoSpaceDE/>
        <w:autoSpaceDN/>
        <w:adjustRightInd/>
        <w:spacing w:before="694" w:line="342" w:lineRule="exact"/>
        <w:jc w:val="both"/>
        <w:textAlignment w:val="baseline"/>
        <w:rPr>
          <w:sz w:val="26"/>
          <w:szCs w:val="26"/>
          <w:lang w:val="es-ES" w:eastAsia="es-ES"/>
        </w:rPr>
      </w:pPr>
      <w:r>
        <w:rPr>
          <w:sz w:val="26"/>
          <w:szCs w:val="26"/>
          <w:lang w:val="es-ES" w:eastAsia="es-ES"/>
        </w:rPr>
        <w:t>Además, aun de poder Interpretarse que la Revisión planteada debería tomarse como sinónima de "Revocatoria", lo cierto es que solamente s</w:t>
      </w:r>
      <w:r>
        <w:rPr>
          <w:sz w:val="26"/>
          <w:szCs w:val="26"/>
          <w:lang w:val="es-ES" w:eastAsia="es-ES"/>
        </w:rPr>
        <w:t>e habría planteado uno de los Recursos Ordinarios de Ley. No siendo él mismo de posible competencia y conocimiento de este Tribunal.</w:t>
      </w:r>
    </w:p>
    <w:p w:rsidR="00000000" w:rsidRDefault="00A25DF7">
      <w:pPr>
        <w:kinsoku w:val="0"/>
        <w:overflowPunct w:val="0"/>
        <w:autoSpaceDE/>
        <w:autoSpaceDN/>
        <w:adjustRightInd/>
        <w:spacing w:before="675" w:line="349" w:lineRule="exact"/>
        <w:jc w:val="both"/>
        <w:textAlignment w:val="baseline"/>
        <w:rPr>
          <w:spacing w:val="-2"/>
          <w:sz w:val="26"/>
          <w:szCs w:val="26"/>
          <w:lang w:val="es-ES" w:eastAsia="es-ES"/>
        </w:rPr>
      </w:pPr>
      <w:r>
        <w:rPr>
          <w:spacing w:val="-2"/>
          <w:sz w:val="26"/>
          <w:szCs w:val="26"/>
          <w:lang w:val="es-ES" w:eastAsia="es-ES"/>
        </w:rPr>
        <w:t>Así las cosas, en todo caso, el Asunto ha sido MAL ELEVADO ante esta Instancia, pues ante las Acciones Específicas interpue</w:t>
      </w:r>
      <w:r>
        <w:rPr>
          <w:spacing w:val="-2"/>
          <w:sz w:val="26"/>
          <w:szCs w:val="26"/>
          <w:lang w:val="es-ES" w:eastAsia="es-ES"/>
        </w:rPr>
        <w:t>stas por el Interesado, la Resolución de las mismas es de Única y Exclusiva Competencia del Consejo de Transporte Público, como ya se ha dado. No existiendo posibilidad de este Tribunal para conocer del Caso.</w:t>
      </w:r>
    </w:p>
    <w:p w:rsidR="00000000" w:rsidRDefault="00A25DF7">
      <w:pPr>
        <w:widowControl/>
        <w:rPr>
          <w:sz w:val="24"/>
          <w:szCs w:val="24"/>
        </w:rPr>
        <w:sectPr w:rsidR="00000000">
          <w:pgSz w:w="12264" w:h="15802"/>
          <w:pgMar w:top="1300" w:right="1634" w:bottom="446" w:left="1630" w:header="720" w:footer="720" w:gutter="0"/>
          <w:cols w:space="720"/>
          <w:noEndnote/>
        </w:sectPr>
      </w:pPr>
    </w:p>
    <w:p w:rsidR="00000000" w:rsidRDefault="00A25DF7">
      <w:pPr>
        <w:kinsoku w:val="0"/>
        <w:overflowPunct w:val="0"/>
        <w:autoSpaceDE/>
        <w:autoSpaceDN/>
        <w:adjustRightInd/>
        <w:spacing w:before="17"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A25DF7">
      <w:pPr>
        <w:numPr>
          <w:ilvl w:val="0"/>
          <w:numId w:val="2"/>
        </w:numPr>
        <w:kinsoku w:val="0"/>
        <w:overflowPunct w:val="0"/>
        <w:autoSpaceDE/>
        <w:autoSpaceDN/>
        <w:adjustRightInd/>
        <w:spacing w:before="247" w:line="346" w:lineRule="exact"/>
        <w:ind w:right="72"/>
        <w:jc w:val="both"/>
        <w:textAlignment w:val="baseline"/>
        <w:rPr>
          <w:sz w:val="26"/>
          <w:szCs w:val="26"/>
          <w:lang w:val="es-ES" w:eastAsia="es-ES"/>
        </w:rPr>
      </w:pPr>
      <w:r>
        <w:rPr>
          <w:sz w:val="26"/>
          <w:szCs w:val="26"/>
          <w:lang w:val="es-ES" w:eastAsia="es-ES"/>
        </w:rPr>
        <w:t xml:space="preserve">Conforme lo expresado </w:t>
      </w:r>
      <w:r>
        <w:rPr>
          <w:i/>
          <w:iCs/>
          <w:sz w:val="26"/>
          <w:szCs w:val="26"/>
          <w:lang w:val="es-ES" w:eastAsia="es-ES"/>
        </w:rPr>
        <w:t xml:space="preserve">supra, </w:t>
      </w:r>
      <w:r>
        <w:rPr>
          <w:sz w:val="26"/>
          <w:szCs w:val="26"/>
          <w:lang w:val="es-ES" w:eastAsia="es-ES"/>
        </w:rPr>
        <w:t xml:space="preserve">se determina como </w:t>
      </w:r>
      <w:r>
        <w:rPr>
          <w:b/>
          <w:bCs/>
          <w:sz w:val="26"/>
          <w:szCs w:val="26"/>
          <w:lang w:val="es-ES" w:eastAsia="es-ES"/>
        </w:rPr>
        <w:t xml:space="preserve">MAL ELEVADO </w:t>
      </w:r>
      <w:r>
        <w:rPr>
          <w:i/>
          <w:iCs/>
          <w:sz w:val="26"/>
          <w:szCs w:val="26"/>
          <w:lang w:val="es-ES" w:eastAsia="es-ES"/>
        </w:rPr>
        <w:t xml:space="preserve">y </w:t>
      </w:r>
      <w:r>
        <w:rPr>
          <w:sz w:val="26"/>
          <w:szCs w:val="26"/>
          <w:lang w:val="es-ES" w:eastAsia="es-ES"/>
        </w:rPr>
        <w:t xml:space="preserve">como Improcedente el trámite del </w:t>
      </w:r>
      <w:r>
        <w:rPr>
          <w:b/>
          <w:bCs/>
          <w:sz w:val="26"/>
          <w:szCs w:val="26"/>
          <w:lang w:val="es-ES" w:eastAsia="es-ES"/>
        </w:rPr>
        <w:t xml:space="preserve">RECURSO EXTRAORDINARIO DE REVISIÓN </w:t>
      </w:r>
      <w:r>
        <w:rPr>
          <w:sz w:val="26"/>
          <w:szCs w:val="26"/>
          <w:lang w:val="es-ES" w:eastAsia="es-ES"/>
        </w:rPr>
        <w:t xml:space="preserve">y del </w:t>
      </w:r>
      <w:r>
        <w:rPr>
          <w:b/>
          <w:bCs/>
          <w:sz w:val="26"/>
          <w:szCs w:val="26"/>
          <w:lang w:val="es-ES" w:eastAsia="es-ES"/>
        </w:rPr>
        <w:t xml:space="preserve">INCIDENTE DE NULIDAD ABSOLUTA </w:t>
      </w:r>
      <w:r>
        <w:rPr>
          <w:sz w:val="26"/>
          <w:szCs w:val="26"/>
          <w:lang w:val="es-ES" w:eastAsia="es-ES"/>
        </w:rPr>
        <w:t xml:space="preserve">presentados por el Señor, </w:t>
      </w:r>
      <w:r>
        <w:rPr>
          <w:b/>
          <w:bCs/>
          <w:sz w:val="26"/>
          <w:szCs w:val="26"/>
          <w:lang w:val="es-ES" w:eastAsia="es-ES"/>
        </w:rPr>
        <w:t>G.A.E.</w:t>
      </w:r>
      <w:r>
        <w:rPr>
          <w:b/>
          <w:bCs/>
          <w:sz w:val="26"/>
          <w:szCs w:val="26"/>
          <w:lang w:val="es-ES" w:eastAsia="es-ES"/>
        </w:rPr>
        <w:t xml:space="preserve">, </w:t>
      </w:r>
      <w:r>
        <w:rPr>
          <w:sz w:val="26"/>
          <w:szCs w:val="26"/>
          <w:lang w:val="es-ES" w:eastAsia="es-ES"/>
        </w:rPr>
        <w:t>de calidades ya conocidas y portador de la cédula de identidad número …</w:t>
      </w:r>
      <w:r>
        <w:rPr>
          <w:sz w:val="26"/>
          <w:szCs w:val="26"/>
          <w:lang w:val="es-ES" w:eastAsia="es-ES"/>
        </w:rPr>
        <w:t xml:space="preserve">, Concesionario del Servicio Público de Taxi, con la Placa No. </w:t>
      </w:r>
      <w:r>
        <w:rPr>
          <w:b/>
          <w:bCs/>
          <w:sz w:val="26"/>
          <w:szCs w:val="26"/>
          <w:u w:val="single"/>
          <w:lang w:val="es-ES" w:eastAsia="es-ES"/>
        </w:rPr>
        <w:t>TSJ-XXX</w:t>
      </w:r>
      <w:r>
        <w:rPr>
          <w:b/>
          <w:bCs/>
          <w:sz w:val="26"/>
          <w:szCs w:val="26"/>
          <w:u w:val="single"/>
          <w:lang w:val="es-ES" w:eastAsia="es-ES"/>
        </w:rPr>
        <w:t>,</w:t>
      </w:r>
      <w:r>
        <w:rPr>
          <w:sz w:val="26"/>
          <w:szCs w:val="26"/>
          <w:lang w:val="es-ES" w:eastAsia="es-ES"/>
        </w:rPr>
        <w:t xml:space="preserve"> contra lo determinado en su relación por la Junta Dir</w:t>
      </w:r>
      <w:r>
        <w:rPr>
          <w:sz w:val="26"/>
          <w:szCs w:val="26"/>
          <w:lang w:val="es-ES" w:eastAsia="es-ES"/>
        </w:rPr>
        <w:t>ectiva del Consejo de Transporte Público mediante su Acuerdo No. 7.2 de su Sesión Ordinaria No. 40-2016 del 18 de Agosto del 2016.</w:t>
      </w:r>
    </w:p>
    <w:p w:rsidR="00000000" w:rsidRDefault="00A25DF7">
      <w:pPr>
        <w:numPr>
          <w:ilvl w:val="0"/>
          <w:numId w:val="2"/>
        </w:numPr>
        <w:kinsoku w:val="0"/>
        <w:overflowPunct w:val="0"/>
        <w:autoSpaceDE/>
        <w:autoSpaceDN/>
        <w:adjustRightInd/>
        <w:spacing w:before="298" w:line="346" w:lineRule="exact"/>
        <w:ind w:right="72"/>
        <w:jc w:val="both"/>
        <w:textAlignment w:val="baseline"/>
        <w:rPr>
          <w:sz w:val="26"/>
          <w:szCs w:val="26"/>
          <w:lang w:val="es-ES" w:eastAsia="es-ES"/>
        </w:rPr>
      </w:pPr>
      <w:r>
        <w:rPr>
          <w:sz w:val="26"/>
          <w:szCs w:val="26"/>
          <w:lang w:val="es-ES" w:eastAsia="es-ES"/>
        </w:rPr>
        <w:t>Debe estar el Recurrente y las Partes Interesadas a lo determinado por el Acto Resolutorio referido y se mantiene el Agotamie</w:t>
      </w:r>
      <w:r>
        <w:rPr>
          <w:sz w:val="26"/>
          <w:szCs w:val="26"/>
          <w:lang w:val="es-ES" w:eastAsia="es-ES"/>
        </w:rPr>
        <w:t>nto de Vía Administrativa dispuesto en él mismo.</w:t>
      </w:r>
    </w:p>
    <w:p w:rsidR="00000000" w:rsidRDefault="00A25DF7">
      <w:pPr>
        <w:numPr>
          <w:ilvl w:val="0"/>
          <w:numId w:val="2"/>
        </w:numPr>
        <w:kinsoku w:val="0"/>
        <w:overflowPunct w:val="0"/>
        <w:autoSpaceDE/>
        <w:autoSpaceDN/>
        <w:adjustRightInd/>
        <w:spacing w:before="44" w:after="563" w:line="557"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NOTIFÍQUESE.</w:t>
      </w:r>
    </w:p>
    <w:p w:rsidR="00A25DF7" w:rsidRPr="00CF40A0" w:rsidRDefault="00A25DF7" w:rsidP="00A25DF7">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A25DF7" w:rsidRDefault="00A25DF7" w:rsidP="00A25DF7">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A25DF7" w:rsidRPr="00FC408E" w:rsidRDefault="00A25DF7" w:rsidP="00A25DF7">
      <w:pPr>
        <w:kinsoku w:val="0"/>
        <w:overflowPunct w:val="0"/>
        <w:autoSpaceDE/>
        <w:autoSpaceDN/>
        <w:adjustRightInd/>
        <w:spacing w:before="313" w:after="358" w:line="294" w:lineRule="exact"/>
        <w:ind w:left="1080"/>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A25DF7" w:rsidRDefault="00A25DF7" w:rsidP="00A25DF7">
      <w:pPr>
        <w:kinsoku w:val="0"/>
        <w:overflowPunct w:val="0"/>
        <w:autoSpaceDE/>
        <w:autoSpaceDN/>
        <w:adjustRightInd/>
        <w:spacing w:before="44" w:after="563" w:line="557" w:lineRule="exact"/>
        <w:ind w:left="1080"/>
        <w:textAlignment w:val="baseline"/>
        <w:rPr>
          <w:b/>
          <w:bCs/>
          <w:sz w:val="26"/>
          <w:szCs w:val="26"/>
          <w:lang w:val="es-ES" w:eastAsia="es-ES"/>
        </w:rPr>
      </w:pPr>
      <w:bookmarkStart w:id="0" w:name="_GoBack"/>
      <w:bookmarkEnd w:id="0"/>
    </w:p>
    <w:sectPr w:rsidR="00A25DF7">
      <w:pgSz w:w="12264" w:h="15802"/>
      <w:pgMar w:top="1400" w:right="1584" w:bottom="306"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0B3E"/>
    <w:multiLevelType w:val="singleLevel"/>
    <w:tmpl w:val="D4C05F66"/>
    <w:lvl w:ilvl="0">
      <w:start w:val="1"/>
      <w:numFmt w:val="decimal"/>
      <w:lvlText w:val="%1.-"/>
      <w:lvlJc w:val="left"/>
      <w:pPr>
        <w:tabs>
          <w:tab w:val="num" w:pos="1800"/>
        </w:tabs>
        <w:ind w:left="1080"/>
      </w:pPr>
      <w:rPr>
        <w:b/>
        <w:snapToGrid/>
        <w:sz w:val="26"/>
        <w:szCs w:val="26"/>
      </w:rPr>
    </w:lvl>
  </w:abstractNum>
  <w:abstractNum w:abstractNumId="1" w15:restartNumberingAfterBreak="0">
    <w:nsid w:val="0670E502"/>
    <w:multiLevelType w:val="singleLevel"/>
    <w:tmpl w:val="65D05826"/>
    <w:lvl w:ilvl="0">
      <w:start w:val="1"/>
      <w:numFmt w:val="lowerLetter"/>
      <w:lvlText w:val="%1)"/>
      <w:lvlJc w:val="left"/>
      <w:pPr>
        <w:tabs>
          <w:tab w:val="num" w:pos="1080"/>
        </w:tabs>
        <w:ind w:left="792"/>
      </w:pPr>
      <w:rPr>
        <w:i/>
        <w:iCs/>
        <w:snapToGrid/>
        <w:sz w:val="25"/>
        <w:szCs w:val="2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04"/>
    <w:rsid w:val="00985B04"/>
    <w:rsid w:val="00A25DF7"/>
    <w:rsid w:val="00CE35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D62D0"/>
  <w14:defaultImageDpi w14:val="0"/>
  <w15:docId w15:val="{43C88C02-ED88-4C70-B61C-73AF06B5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25DF7"/>
    <w:rPr>
      <w:lang w:val="es-CR"/>
    </w:rPr>
  </w:style>
  <w:style w:type="character" w:customStyle="1" w:styleId="CharacterStyle1">
    <w:name w:val="Character Style 1"/>
    <w:uiPriority w:val="99"/>
    <w:rsid w:val="00A25D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2017-02-21T18:21:00Z</dcterms:created>
  <dcterms:modified xsi:type="dcterms:W3CDTF">2017-02-21T18:21:00Z</dcterms:modified>
</cp:coreProperties>
</file>